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9699E" w14:textId="0ED9048F" w:rsidR="00C4314C" w:rsidRPr="0079704A" w:rsidRDefault="00E53D22" w:rsidP="00F31884">
      <w:pPr>
        <w:pStyle w:val="Title"/>
      </w:pPr>
      <w:bookmarkStart w:id="0" w:name="_GoBack"/>
      <w:bookmarkEnd w:id="0"/>
      <w:r w:rsidRPr="00FA6522">
        <w:rPr>
          <w:noProof/>
          <w:sz w:val="26"/>
          <w:szCs w:val="26"/>
        </w:rPr>
        <w:drawing>
          <wp:anchor distT="0" distB="0" distL="114300" distR="114300" simplePos="0" relativeHeight="251659264" behindDoc="0" locked="0" layoutInCell="1" allowOverlap="1" wp14:anchorId="11258F14" wp14:editId="68EEA0A5">
            <wp:simplePos x="0" y="0"/>
            <wp:positionH relativeFrom="column">
              <wp:posOffset>8239125</wp:posOffset>
            </wp:positionH>
            <wp:positionV relativeFrom="paragraph">
              <wp:posOffset>-323850</wp:posOffset>
            </wp:positionV>
            <wp:extent cx="1076325" cy="5848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76325" cy="584835"/>
                    </a:xfrm>
                    <a:prstGeom prst="rect">
                      <a:avLst/>
                    </a:prstGeom>
                  </pic:spPr>
                </pic:pic>
              </a:graphicData>
            </a:graphic>
            <wp14:sizeRelH relativeFrom="page">
              <wp14:pctWidth>0</wp14:pctWidth>
            </wp14:sizeRelH>
            <wp14:sizeRelV relativeFrom="page">
              <wp14:pctHeight>0</wp14:pctHeight>
            </wp14:sizeRelV>
          </wp:anchor>
        </w:drawing>
      </w:r>
      <w:r w:rsidR="00EB7921">
        <w:t>Reading and Writing 7</w:t>
      </w:r>
      <w:r w:rsidR="00EA703F">
        <w:t xml:space="preserve"> C</w:t>
      </w:r>
      <w:r w:rsidR="00C4314C" w:rsidRPr="0079704A">
        <w:t>urriculum Map</w:t>
      </w:r>
      <w:r w:rsidR="00F15658">
        <w:t xml:space="preserve"> 2017-18</w:t>
      </w:r>
      <w:r w:rsidR="0079704A">
        <w:t xml:space="preserve">  </w:t>
      </w:r>
    </w:p>
    <w:p w14:paraId="2825D526" w14:textId="7257E5C9" w:rsidR="00D2217C" w:rsidRPr="00D2217C" w:rsidRDefault="00EB7921">
      <w:r>
        <w:t>In Grade 7, the focus of Reading and Writing is to ensure that students are proficient on the 7</w:t>
      </w:r>
      <w:r w:rsidRPr="00977768">
        <w:rPr>
          <w:vertAlign w:val="superscript"/>
        </w:rPr>
        <w:t>th</w:t>
      </w:r>
      <w:r>
        <w:t xml:space="preserve"> grade standards by the end of the year. Seventh grade classes should build on the skills and routines established in sixth grade and build students’ independence.  </w:t>
      </w:r>
    </w:p>
    <w:tbl>
      <w:tblPr>
        <w:tblStyle w:val="TableGrid"/>
        <w:tblW w:w="0" w:type="auto"/>
        <w:tblLook w:val="04A0" w:firstRow="1" w:lastRow="0" w:firstColumn="1" w:lastColumn="0" w:noHBand="0" w:noVBand="1"/>
      </w:tblPr>
      <w:tblGrid>
        <w:gridCol w:w="4800"/>
        <w:gridCol w:w="4797"/>
        <w:gridCol w:w="4793"/>
      </w:tblGrid>
      <w:tr w:rsidR="00080C94" w14:paraId="13DA1F2D" w14:textId="77777777" w:rsidTr="002E269A">
        <w:trPr>
          <w:trHeight w:val="276"/>
        </w:trPr>
        <w:tc>
          <w:tcPr>
            <w:tcW w:w="4866" w:type="dxa"/>
            <w:shd w:val="clear" w:color="auto" w:fill="DBE5F1" w:themeFill="accent1" w:themeFillTint="33"/>
          </w:tcPr>
          <w:p w14:paraId="4E6EEB4B" w14:textId="77777777" w:rsidR="00080C94" w:rsidRPr="00D2217C" w:rsidRDefault="00080C94" w:rsidP="00E33ADB">
            <w:pPr>
              <w:jc w:val="center"/>
              <w:rPr>
                <w:b/>
              </w:rPr>
            </w:pPr>
            <w:r w:rsidRPr="00D2217C">
              <w:rPr>
                <w:b/>
              </w:rPr>
              <w:t>Trimester One</w:t>
            </w:r>
          </w:p>
        </w:tc>
        <w:tc>
          <w:tcPr>
            <w:tcW w:w="4866" w:type="dxa"/>
            <w:shd w:val="clear" w:color="auto" w:fill="DBE5F1" w:themeFill="accent1" w:themeFillTint="33"/>
          </w:tcPr>
          <w:p w14:paraId="104589F2" w14:textId="77777777" w:rsidR="00080C94" w:rsidRPr="00D2217C" w:rsidRDefault="00080C94" w:rsidP="00E33ADB">
            <w:pPr>
              <w:jc w:val="center"/>
              <w:rPr>
                <w:b/>
              </w:rPr>
            </w:pPr>
            <w:r w:rsidRPr="00D2217C">
              <w:rPr>
                <w:b/>
              </w:rPr>
              <w:t>Trimester Two</w:t>
            </w:r>
          </w:p>
        </w:tc>
        <w:tc>
          <w:tcPr>
            <w:tcW w:w="4866" w:type="dxa"/>
            <w:shd w:val="clear" w:color="auto" w:fill="DBE5F1" w:themeFill="accent1" w:themeFillTint="33"/>
          </w:tcPr>
          <w:p w14:paraId="56C9B964" w14:textId="77777777" w:rsidR="00080C94" w:rsidRPr="00D2217C" w:rsidRDefault="00080C94" w:rsidP="00E33ADB">
            <w:pPr>
              <w:jc w:val="center"/>
              <w:rPr>
                <w:b/>
              </w:rPr>
            </w:pPr>
            <w:r w:rsidRPr="00D2217C">
              <w:rPr>
                <w:b/>
              </w:rPr>
              <w:t>Trimester Three</w:t>
            </w:r>
          </w:p>
        </w:tc>
      </w:tr>
      <w:tr w:rsidR="00080C94" w14:paraId="352C78C3" w14:textId="77777777" w:rsidTr="002E269A">
        <w:trPr>
          <w:trHeight w:val="1655"/>
        </w:trPr>
        <w:tc>
          <w:tcPr>
            <w:tcW w:w="4866" w:type="dxa"/>
          </w:tcPr>
          <w:p w14:paraId="4DD6CF3B" w14:textId="44D8E206" w:rsidR="00CD092F" w:rsidRPr="00EB7921" w:rsidRDefault="00EB7921" w:rsidP="00080C94">
            <w:pPr>
              <w:pStyle w:val="ListParagraph"/>
              <w:numPr>
                <w:ilvl w:val="0"/>
                <w:numId w:val="2"/>
              </w:numPr>
              <w:rPr>
                <w:b/>
              </w:rPr>
            </w:pPr>
            <w:r>
              <w:rPr>
                <w:i/>
              </w:rPr>
              <w:t>Absolutely True Diary of a Part-time Indian</w:t>
            </w:r>
          </w:p>
          <w:p w14:paraId="5CC165E4" w14:textId="77777777" w:rsidR="00EB7921" w:rsidRPr="00EB7921" w:rsidRDefault="00EB7921" w:rsidP="00080C94">
            <w:pPr>
              <w:pStyle w:val="ListParagraph"/>
              <w:numPr>
                <w:ilvl w:val="0"/>
                <w:numId w:val="2"/>
              </w:numPr>
              <w:rPr>
                <w:b/>
              </w:rPr>
            </w:pPr>
            <w:r>
              <w:rPr>
                <w:i/>
              </w:rPr>
              <w:t>I Am Malala</w:t>
            </w:r>
          </w:p>
          <w:p w14:paraId="026EBDEA" w14:textId="77777777" w:rsidR="00EB7921" w:rsidRPr="00EB7921" w:rsidRDefault="00EB7921" w:rsidP="00EB7921">
            <w:pPr>
              <w:pStyle w:val="ListParagraph"/>
              <w:numPr>
                <w:ilvl w:val="0"/>
                <w:numId w:val="2"/>
              </w:numPr>
              <w:rPr>
                <w:b/>
              </w:rPr>
            </w:pPr>
            <w:r>
              <w:t>Not built out</w:t>
            </w:r>
          </w:p>
          <w:p w14:paraId="3B31B194" w14:textId="0E2598C8" w:rsidR="00EB7921" w:rsidRPr="0079704A" w:rsidRDefault="00EB7921" w:rsidP="00EB7921">
            <w:pPr>
              <w:pStyle w:val="ListParagraph"/>
              <w:ind w:left="360"/>
              <w:rPr>
                <w:b/>
              </w:rPr>
            </w:pPr>
          </w:p>
        </w:tc>
        <w:tc>
          <w:tcPr>
            <w:tcW w:w="4866" w:type="dxa"/>
          </w:tcPr>
          <w:p w14:paraId="5362DA9E" w14:textId="77777777" w:rsidR="00CD092F" w:rsidRPr="00EB7921" w:rsidRDefault="00EB7921" w:rsidP="00080C94">
            <w:pPr>
              <w:pStyle w:val="ListParagraph"/>
              <w:numPr>
                <w:ilvl w:val="0"/>
                <w:numId w:val="2"/>
              </w:numPr>
              <w:rPr>
                <w:b/>
              </w:rPr>
            </w:pPr>
            <w:r>
              <w:t>Not built out</w:t>
            </w:r>
          </w:p>
          <w:p w14:paraId="7C765952" w14:textId="7B563D74" w:rsidR="00EB7921" w:rsidRPr="0079704A" w:rsidRDefault="00EB7921" w:rsidP="00080C94">
            <w:pPr>
              <w:pStyle w:val="ListParagraph"/>
              <w:numPr>
                <w:ilvl w:val="0"/>
                <w:numId w:val="2"/>
              </w:numPr>
              <w:rPr>
                <w:b/>
              </w:rPr>
            </w:pPr>
            <w:r>
              <w:rPr>
                <w:i/>
              </w:rPr>
              <w:t>Curious Incident of the Dog in the Night-time</w:t>
            </w:r>
          </w:p>
        </w:tc>
        <w:tc>
          <w:tcPr>
            <w:tcW w:w="4866" w:type="dxa"/>
          </w:tcPr>
          <w:p w14:paraId="6D786491" w14:textId="77777777" w:rsidR="00080C94" w:rsidRPr="00EB7921" w:rsidRDefault="00EB7921" w:rsidP="00EB7921">
            <w:pPr>
              <w:pStyle w:val="ListParagraph"/>
              <w:numPr>
                <w:ilvl w:val="0"/>
                <w:numId w:val="2"/>
              </w:numPr>
              <w:rPr>
                <w:b/>
              </w:rPr>
            </w:pPr>
            <w:r>
              <w:t>Not built out</w:t>
            </w:r>
          </w:p>
          <w:p w14:paraId="634DA7D5" w14:textId="2ADF7475" w:rsidR="00EB7921" w:rsidRPr="0079704A" w:rsidRDefault="00EB7921" w:rsidP="00EB7921">
            <w:pPr>
              <w:pStyle w:val="ListParagraph"/>
              <w:numPr>
                <w:ilvl w:val="0"/>
                <w:numId w:val="2"/>
              </w:numPr>
              <w:rPr>
                <w:b/>
              </w:rPr>
            </w:pPr>
            <w:r>
              <w:t>Not built out</w:t>
            </w:r>
          </w:p>
        </w:tc>
      </w:tr>
    </w:tbl>
    <w:p w14:paraId="06219747" w14:textId="1269AE73" w:rsidR="00D2217C" w:rsidRPr="00A83F78" w:rsidRDefault="00D2217C">
      <w:pPr>
        <w:rPr>
          <w:b/>
        </w:rPr>
      </w:pPr>
    </w:p>
    <w:tbl>
      <w:tblPr>
        <w:tblStyle w:val="TableGrid"/>
        <w:tblW w:w="0" w:type="auto"/>
        <w:tblLook w:val="04A0" w:firstRow="1" w:lastRow="0" w:firstColumn="1" w:lastColumn="0" w:noHBand="0" w:noVBand="1"/>
      </w:tblPr>
      <w:tblGrid>
        <w:gridCol w:w="1673"/>
        <w:gridCol w:w="1169"/>
        <w:gridCol w:w="5267"/>
        <w:gridCol w:w="6281"/>
      </w:tblGrid>
      <w:tr w:rsidR="00080C94" w14:paraId="34AD0F53" w14:textId="77777777" w:rsidTr="00CD092F">
        <w:trPr>
          <w:tblHeader/>
        </w:trPr>
        <w:tc>
          <w:tcPr>
            <w:tcW w:w="1673" w:type="dxa"/>
            <w:shd w:val="clear" w:color="auto" w:fill="DBE5F1" w:themeFill="accent1" w:themeFillTint="33"/>
            <w:vAlign w:val="center"/>
          </w:tcPr>
          <w:p w14:paraId="51B52861" w14:textId="77777777" w:rsidR="00080C94" w:rsidRPr="00080C94" w:rsidRDefault="00080C94" w:rsidP="00080C94">
            <w:pPr>
              <w:jc w:val="center"/>
              <w:rPr>
                <w:b/>
              </w:rPr>
            </w:pPr>
            <w:r w:rsidRPr="00080C94">
              <w:rPr>
                <w:b/>
              </w:rPr>
              <w:t>Unit</w:t>
            </w:r>
          </w:p>
        </w:tc>
        <w:tc>
          <w:tcPr>
            <w:tcW w:w="1169" w:type="dxa"/>
            <w:shd w:val="clear" w:color="auto" w:fill="DBE5F1" w:themeFill="accent1" w:themeFillTint="33"/>
            <w:vAlign w:val="center"/>
          </w:tcPr>
          <w:p w14:paraId="2DDAE3D0" w14:textId="77777777" w:rsidR="00080C94" w:rsidRPr="00080C94" w:rsidRDefault="00080C94" w:rsidP="00080C94">
            <w:pPr>
              <w:jc w:val="center"/>
              <w:rPr>
                <w:b/>
              </w:rPr>
            </w:pPr>
            <w:r w:rsidRPr="00080C94">
              <w:rPr>
                <w:b/>
              </w:rPr>
              <w:t>Suggested Length</w:t>
            </w:r>
          </w:p>
        </w:tc>
        <w:tc>
          <w:tcPr>
            <w:tcW w:w="5267" w:type="dxa"/>
            <w:shd w:val="clear" w:color="auto" w:fill="DBE5F1" w:themeFill="accent1" w:themeFillTint="33"/>
            <w:vAlign w:val="center"/>
          </w:tcPr>
          <w:p w14:paraId="41625C7B" w14:textId="77777777" w:rsidR="00080C94" w:rsidRPr="00080C94" w:rsidRDefault="00080C94" w:rsidP="00080C94">
            <w:pPr>
              <w:jc w:val="center"/>
              <w:rPr>
                <w:b/>
              </w:rPr>
            </w:pPr>
            <w:r w:rsidRPr="00080C94">
              <w:rPr>
                <w:b/>
              </w:rPr>
              <w:t>Description</w:t>
            </w:r>
          </w:p>
        </w:tc>
        <w:tc>
          <w:tcPr>
            <w:tcW w:w="6281" w:type="dxa"/>
            <w:shd w:val="clear" w:color="auto" w:fill="DBE5F1" w:themeFill="accent1" w:themeFillTint="33"/>
            <w:vAlign w:val="center"/>
          </w:tcPr>
          <w:p w14:paraId="7582C42E" w14:textId="77777777" w:rsidR="00080C94" w:rsidRPr="00080C94" w:rsidRDefault="00080C94" w:rsidP="00080C94">
            <w:pPr>
              <w:jc w:val="center"/>
              <w:rPr>
                <w:b/>
              </w:rPr>
            </w:pPr>
            <w:r w:rsidRPr="00080C94">
              <w:rPr>
                <w:b/>
              </w:rPr>
              <w:t>Standards</w:t>
            </w:r>
          </w:p>
        </w:tc>
      </w:tr>
      <w:tr w:rsidR="00080C94" w14:paraId="44C463C5" w14:textId="77777777" w:rsidTr="00CD092F">
        <w:tc>
          <w:tcPr>
            <w:tcW w:w="1673" w:type="dxa"/>
            <w:vAlign w:val="center"/>
          </w:tcPr>
          <w:p w14:paraId="6E31AB4E" w14:textId="77C097B4" w:rsidR="00080C94" w:rsidRPr="00080C94" w:rsidRDefault="00080C94" w:rsidP="00080C94">
            <w:pPr>
              <w:jc w:val="center"/>
            </w:pPr>
            <w:r w:rsidRPr="00080C94">
              <w:t xml:space="preserve">1 – </w:t>
            </w:r>
            <w:r w:rsidR="00EB7921">
              <w:rPr>
                <w:i/>
              </w:rPr>
              <w:t>Absolutely True Diary of a Part-Time Indian</w:t>
            </w:r>
          </w:p>
          <w:p w14:paraId="0285CC78" w14:textId="77777777" w:rsidR="00080C94" w:rsidRPr="00080C94" w:rsidRDefault="00080C94" w:rsidP="00080C94">
            <w:pPr>
              <w:jc w:val="center"/>
              <w:rPr>
                <w:b/>
              </w:rPr>
            </w:pPr>
          </w:p>
        </w:tc>
        <w:tc>
          <w:tcPr>
            <w:tcW w:w="1169" w:type="dxa"/>
            <w:vAlign w:val="center"/>
          </w:tcPr>
          <w:p w14:paraId="346F5A27" w14:textId="495A3254" w:rsidR="00CD092F" w:rsidRDefault="00CD092F" w:rsidP="00CD092F">
            <w:pPr>
              <w:jc w:val="center"/>
            </w:pPr>
            <w:r>
              <w:t>Reading:</w:t>
            </w:r>
            <w:r w:rsidR="004048F6">
              <w:t xml:space="preserve"> 20 days</w:t>
            </w:r>
          </w:p>
          <w:p w14:paraId="7BD22C73" w14:textId="356315DD" w:rsidR="00EA703F" w:rsidRPr="00080C94" w:rsidRDefault="00CD092F" w:rsidP="00CD092F">
            <w:pPr>
              <w:jc w:val="center"/>
            </w:pPr>
            <w:r>
              <w:t>Writing:</w:t>
            </w:r>
            <w:r w:rsidR="004048F6">
              <w:t xml:space="preserve"> 17 days</w:t>
            </w:r>
            <w:r>
              <w:t xml:space="preserve">  </w:t>
            </w:r>
          </w:p>
        </w:tc>
        <w:tc>
          <w:tcPr>
            <w:tcW w:w="5267" w:type="dxa"/>
          </w:tcPr>
          <w:p w14:paraId="4F1EA86B" w14:textId="20AC703B" w:rsidR="00EB7921" w:rsidRDefault="00EB7921" w:rsidP="00EB7921">
            <w:pPr>
              <w:rPr>
                <w:rFonts w:eastAsia="Times New Roman" w:cs="Times New Roman"/>
              </w:rPr>
            </w:pPr>
            <w:r w:rsidRPr="007A5BA7">
              <w:rPr>
                <w:rFonts w:eastAsia="Times New Roman" w:cs="Times New Roman"/>
                <w:i/>
              </w:rPr>
              <w:t>The A</w:t>
            </w:r>
            <w:r>
              <w:rPr>
                <w:rFonts w:eastAsia="Times New Roman" w:cs="Times New Roman"/>
                <w:i/>
              </w:rPr>
              <w:t>bsolutely True Diary of a Part-T</w:t>
            </w:r>
            <w:r w:rsidRPr="007A5BA7">
              <w:rPr>
                <w:rFonts w:eastAsia="Times New Roman" w:cs="Times New Roman"/>
                <w:i/>
              </w:rPr>
              <w:t xml:space="preserve">ime Indian </w:t>
            </w:r>
            <w:r w:rsidRPr="007A5BA7">
              <w:rPr>
                <w:rFonts w:eastAsia="Times New Roman" w:cs="Times New Roman"/>
              </w:rPr>
              <w:t xml:space="preserve">is a semi-autobiographical narrative of Arnold “Junior” Spirit, a young Native American teen living on the Spokane Indian reservation in </w:t>
            </w:r>
            <w:proofErr w:type="spellStart"/>
            <w:r w:rsidRPr="007A5BA7">
              <w:rPr>
                <w:rFonts w:eastAsia="Times New Roman" w:cs="Times New Roman"/>
              </w:rPr>
              <w:t>Wellpinit</w:t>
            </w:r>
            <w:proofErr w:type="spellEnd"/>
            <w:r w:rsidRPr="007A5BA7">
              <w:rPr>
                <w:rFonts w:eastAsia="Times New Roman" w:cs="Times New Roman"/>
              </w:rPr>
              <w:t xml:space="preserve">, Washington. Arnold is initially excited to begin high school, but a distressing discovery in his geometry book spurs him to transfer from the reservation school to </w:t>
            </w:r>
            <w:proofErr w:type="spellStart"/>
            <w:r w:rsidRPr="007A5BA7">
              <w:rPr>
                <w:rFonts w:eastAsia="Times New Roman" w:cs="Times New Roman"/>
              </w:rPr>
              <w:t>Reardan</w:t>
            </w:r>
            <w:proofErr w:type="spellEnd"/>
            <w:r w:rsidRPr="007A5BA7">
              <w:rPr>
                <w:rFonts w:eastAsia="Times New Roman" w:cs="Times New Roman"/>
              </w:rPr>
              <w:t xml:space="preserve"> High, a school populated almost exclusively by rich white students. Arnold must simultaneously grapple with the racism and prejudice of his new classmates and the accusations of betrayal of his home community, but his </w:t>
            </w:r>
            <w:r>
              <w:rPr>
                <w:rFonts w:eastAsia="Times New Roman" w:cs="Times New Roman"/>
              </w:rPr>
              <w:t>grit</w:t>
            </w:r>
            <w:r w:rsidRPr="007A5BA7">
              <w:rPr>
                <w:rFonts w:eastAsia="Times New Roman" w:cs="Times New Roman"/>
              </w:rPr>
              <w:t xml:space="preserve">, grace and perseverance ultimately empower him to succeed. </w:t>
            </w:r>
          </w:p>
          <w:p w14:paraId="125A5477" w14:textId="77777777" w:rsidR="00EB7921" w:rsidRDefault="00EB7921" w:rsidP="00EB7921">
            <w:pPr>
              <w:rPr>
                <w:rFonts w:eastAsia="Times New Roman" w:cs="Times New Roman"/>
              </w:rPr>
            </w:pPr>
          </w:p>
          <w:p w14:paraId="49002BC4" w14:textId="2E670238" w:rsidR="00080C94" w:rsidRPr="00EB7921" w:rsidRDefault="00EB7921" w:rsidP="00EB7921">
            <w:pPr>
              <w:rPr>
                <w:rFonts w:ascii="Calibri" w:eastAsia="Times New Roman" w:hAnsi="Calibri" w:cs="Times New Roman"/>
                <w:color w:val="000000"/>
              </w:rPr>
            </w:pPr>
            <w:r>
              <w:rPr>
                <w:rFonts w:ascii="Calibri" w:eastAsia="Times New Roman" w:hAnsi="Calibri" w:cs="Times New Roman"/>
                <w:color w:val="000000"/>
              </w:rPr>
              <w:t xml:space="preserve">The key understanding of this unit is: Arnold ultimately comes to understand that even though he may not be physically on the reservation, he can still hold love in his heart for his people and his community. His best friend Rowdy’s assertion that Arnold is like an “old-time nomadic Indian” helps Arnold to come to an acceptance of his “dual” identity. Students explore this idea of Arnold’s dual identity throughout the unit and </w:t>
            </w:r>
            <w:r>
              <w:rPr>
                <w:rFonts w:ascii="Calibri" w:eastAsia="Times New Roman" w:hAnsi="Calibri" w:cs="Times New Roman"/>
                <w:color w:val="000000"/>
              </w:rPr>
              <w:lastRenderedPageBreak/>
              <w:t>ultimately write about how Arnold is able to hold multiple identities in the final writing assignment.</w:t>
            </w:r>
          </w:p>
        </w:tc>
        <w:tc>
          <w:tcPr>
            <w:tcW w:w="6281" w:type="dxa"/>
          </w:tcPr>
          <w:p w14:paraId="679106BF" w14:textId="7354CA8A" w:rsidR="00080C94" w:rsidRDefault="00EB7921" w:rsidP="002E269A">
            <w:pPr>
              <w:pStyle w:val="ListParagraph"/>
              <w:numPr>
                <w:ilvl w:val="0"/>
                <w:numId w:val="5"/>
              </w:numPr>
              <w:rPr>
                <w:b/>
                <w:sz w:val="20"/>
                <w:szCs w:val="20"/>
              </w:rPr>
            </w:pPr>
            <w:r>
              <w:rPr>
                <w:b/>
                <w:sz w:val="20"/>
                <w:szCs w:val="20"/>
              </w:rPr>
              <w:lastRenderedPageBreak/>
              <w:t>RL.7.3</w:t>
            </w:r>
            <w:r w:rsidR="00B14CE2">
              <w:rPr>
                <w:b/>
                <w:sz w:val="20"/>
                <w:szCs w:val="20"/>
              </w:rPr>
              <w:t xml:space="preserve"> </w:t>
            </w:r>
            <w:r w:rsidR="00B14CE2" w:rsidRPr="00B14CE2">
              <w:rPr>
                <w:sz w:val="20"/>
                <w:szCs w:val="20"/>
              </w:rPr>
              <w:t>Analyze how particular elements of a story or drama interact (e.g., how setting shapes the characters or plot).</w:t>
            </w:r>
          </w:p>
          <w:p w14:paraId="269BDEF0" w14:textId="2E49C2D5" w:rsidR="00EB7921" w:rsidRPr="002E269A" w:rsidRDefault="00EB7921" w:rsidP="002E269A">
            <w:pPr>
              <w:pStyle w:val="ListParagraph"/>
              <w:numPr>
                <w:ilvl w:val="0"/>
                <w:numId w:val="5"/>
              </w:numPr>
              <w:rPr>
                <w:b/>
                <w:sz w:val="20"/>
                <w:szCs w:val="20"/>
              </w:rPr>
            </w:pPr>
            <w:r>
              <w:rPr>
                <w:b/>
                <w:sz w:val="20"/>
                <w:szCs w:val="20"/>
              </w:rPr>
              <w:t>W.7.2</w:t>
            </w:r>
            <w:r w:rsidR="00B14CE2">
              <w:rPr>
                <w:b/>
                <w:sz w:val="20"/>
                <w:szCs w:val="20"/>
              </w:rPr>
              <w:t xml:space="preserve"> </w:t>
            </w:r>
            <w:r w:rsidR="00B14CE2" w:rsidRPr="00B14CE2">
              <w:rPr>
                <w:sz w:val="20"/>
                <w:szCs w:val="20"/>
              </w:rPr>
              <w:t>Write informative/explanatory texts to examine a topic and convey ideas, concepts, and information through the selection, organization, and analysis of relevant content.</w:t>
            </w:r>
          </w:p>
        </w:tc>
      </w:tr>
      <w:tr w:rsidR="002B0538" w14:paraId="5E86703B" w14:textId="77777777" w:rsidTr="00CD092F">
        <w:tc>
          <w:tcPr>
            <w:tcW w:w="1673" w:type="dxa"/>
            <w:vAlign w:val="center"/>
          </w:tcPr>
          <w:p w14:paraId="3D345A74" w14:textId="41BCB9CF" w:rsidR="002B0538" w:rsidRPr="00A83F78" w:rsidRDefault="002B0538" w:rsidP="00A83F78">
            <w:pPr>
              <w:jc w:val="center"/>
            </w:pPr>
            <w:r w:rsidRPr="00A83F78">
              <w:t xml:space="preserve">2 </w:t>
            </w:r>
            <w:r w:rsidRPr="00080C94">
              <w:t xml:space="preserve">– </w:t>
            </w:r>
            <w:r w:rsidRPr="00A83F78">
              <w:t xml:space="preserve"> </w:t>
            </w:r>
            <w:r w:rsidR="00EB7921">
              <w:rPr>
                <w:i/>
              </w:rPr>
              <w:t>I Am Malala</w:t>
            </w:r>
          </w:p>
          <w:p w14:paraId="1C7EDE79" w14:textId="77777777" w:rsidR="002B0538" w:rsidRPr="00A83F78" w:rsidRDefault="002B0538" w:rsidP="00080C94">
            <w:pPr>
              <w:jc w:val="center"/>
            </w:pPr>
          </w:p>
        </w:tc>
        <w:tc>
          <w:tcPr>
            <w:tcW w:w="1169" w:type="dxa"/>
            <w:vAlign w:val="center"/>
          </w:tcPr>
          <w:p w14:paraId="4A8E9C3F" w14:textId="27CB30C6" w:rsidR="002B0538" w:rsidRDefault="00CD092F" w:rsidP="00080C94">
            <w:pPr>
              <w:jc w:val="center"/>
            </w:pPr>
            <w:r>
              <w:t xml:space="preserve">Reading: </w:t>
            </w:r>
            <w:r w:rsidR="00A45E8B">
              <w:t>20 days</w:t>
            </w:r>
          </w:p>
          <w:p w14:paraId="4A2982A0" w14:textId="391AD361" w:rsidR="00CD092F" w:rsidRPr="00A83F78" w:rsidRDefault="00CD092F" w:rsidP="00080C94">
            <w:pPr>
              <w:jc w:val="center"/>
            </w:pPr>
            <w:r>
              <w:t>Writing:</w:t>
            </w:r>
            <w:r w:rsidR="00A45E8B">
              <w:t xml:space="preserve"> 12 days</w:t>
            </w:r>
          </w:p>
        </w:tc>
        <w:tc>
          <w:tcPr>
            <w:tcW w:w="5267" w:type="dxa"/>
          </w:tcPr>
          <w:p w14:paraId="35851695" w14:textId="791CB0CF" w:rsidR="00CD092F" w:rsidRDefault="00CD092F" w:rsidP="002E269A">
            <w:pPr>
              <w:rPr>
                <w:sz w:val="20"/>
                <w:szCs w:val="20"/>
              </w:rPr>
            </w:pPr>
          </w:p>
          <w:p w14:paraId="0E979A8E" w14:textId="77777777" w:rsidR="00A45E8B" w:rsidRPr="000F3A36" w:rsidRDefault="00A45E8B" w:rsidP="00A45E8B">
            <w:pPr>
              <w:rPr>
                <w:rFonts w:ascii="Calibri" w:eastAsia="Times New Roman" w:hAnsi="Calibri" w:cs="Times New Roman"/>
                <w:b/>
                <w:color w:val="000000"/>
              </w:rPr>
            </w:pPr>
            <w:r>
              <w:rPr>
                <w:rFonts w:ascii="Calibri" w:eastAsia="Times New Roman" w:hAnsi="Calibri" w:cs="Times New Roman"/>
                <w:i/>
                <w:color w:val="000000"/>
              </w:rPr>
              <w:t xml:space="preserve">I Am Malala: How one girl stood up for education and changed the world </w:t>
            </w:r>
            <w:r>
              <w:rPr>
                <w:rFonts w:ascii="Calibri" w:eastAsia="Times New Roman" w:hAnsi="Calibri" w:cs="Times New Roman"/>
                <w:color w:val="000000"/>
              </w:rPr>
              <w:t xml:space="preserve">is Malala Yousafzai’s memoir for young readers, and was written in partnership with Patricia McCormick.  This edition differs from the adult version in length and focus.  This memoir focuses less on the geo-political context and history of Pakistan and the Swat valley, and more on Malala’s experiences and thoughts as she grows. Readers will learn about Malala’s ordinary childhood, and how different factors in her life lead her to accomplish extraordinary change in the world. </w:t>
            </w:r>
          </w:p>
          <w:p w14:paraId="6910E258" w14:textId="77777777" w:rsidR="00A45E8B" w:rsidRDefault="00A45E8B" w:rsidP="00A45E8B">
            <w:pPr>
              <w:rPr>
                <w:rFonts w:ascii="Calibri" w:eastAsia="Times New Roman" w:hAnsi="Calibri" w:cs="Times New Roman"/>
                <w:color w:val="000000"/>
              </w:rPr>
            </w:pPr>
          </w:p>
          <w:p w14:paraId="69458FEA" w14:textId="4FDFCD32" w:rsidR="00A45E8B" w:rsidRDefault="00A45E8B" w:rsidP="00A45E8B">
            <w:pPr>
              <w:rPr>
                <w:rFonts w:ascii="Calibri" w:eastAsia="Times New Roman" w:hAnsi="Calibri" w:cs="Times New Roman"/>
                <w:color w:val="000000"/>
              </w:rPr>
            </w:pPr>
            <w:r>
              <w:rPr>
                <w:rFonts w:ascii="Calibri" w:eastAsia="Times New Roman" w:hAnsi="Calibri" w:cs="Times New Roman"/>
                <w:color w:val="000000"/>
              </w:rPr>
              <w:t xml:space="preserve">The primary spine for this novel is that </w:t>
            </w:r>
            <w:r w:rsidRPr="000F3A36">
              <w:rPr>
                <w:rFonts w:ascii="Calibri" w:eastAsia="Times New Roman" w:hAnsi="Calibri" w:cs="Times New Roman"/>
                <w:color w:val="000000"/>
              </w:rPr>
              <w:t xml:space="preserve">Malala is an ordinary teenager who is influenced by the idea that education is a universal human right </w:t>
            </w:r>
            <w:r>
              <w:rPr>
                <w:rFonts w:ascii="Calibri" w:eastAsia="Times New Roman" w:hAnsi="Calibri" w:cs="Times New Roman"/>
                <w:color w:val="000000"/>
              </w:rPr>
              <w:t xml:space="preserve">and necessary </w:t>
            </w:r>
            <w:r w:rsidRPr="000F3A36">
              <w:rPr>
                <w:rFonts w:ascii="Calibri" w:eastAsia="Times New Roman" w:hAnsi="Calibri" w:cs="Times New Roman"/>
                <w:color w:val="000000"/>
              </w:rPr>
              <w:t>to effect extraordinary change.</w:t>
            </w:r>
            <w:r>
              <w:rPr>
                <w:rFonts w:ascii="Calibri" w:eastAsia="Times New Roman" w:hAnsi="Calibri" w:cs="Times New Roman"/>
                <w:color w:val="000000"/>
              </w:rPr>
              <w:t xml:space="preserve">  Students will spend their time while reading this memoir tracking the various influences that impacted Malala and gathering evidence of these influences for their essay.</w:t>
            </w:r>
          </w:p>
          <w:p w14:paraId="5CB7E3CB" w14:textId="15AAC07C" w:rsidR="00CD092F" w:rsidRDefault="00CD092F" w:rsidP="00CD092F">
            <w:pPr>
              <w:rPr>
                <w:sz w:val="20"/>
                <w:szCs w:val="20"/>
              </w:rPr>
            </w:pPr>
          </w:p>
          <w:p w14:paraId="52A71170" w14:textId="77777777" w:rsidR="002B0538" w:rsidRPr="00CD092F" w:rsidRDefault="002B0538" w:rsidP="00CD092F">
            <w:pPr>
              <w:rPr>
                <w:sz w:val="20"/>
                <w:szCs w:val="20"/>
              </w:rPr>
            </w:pPr>
          </w:p>
        </w:tc>
        <w:tc>
          <w:tcPr>
            <w:tcW w:w="6281" w:type="dxa"/>
          </w:tcPr>
          <w:p w14:paraId="57CFD8B8" w14:textId="56E966F6" w:rsidR="002B0538" w:rsidRPr="00B14CE2" w:rsidRDefault="00A45E8B" w:rsidP="002E269A">
            <w:pPr>
              <w:pStyle w:val="ListParagraph"/>
              <w:numPr>
                <w:ilvl w:val="0"/>
                <w:numId w:val="6"/>
              </w:numPr>
              <w:rPr>
                <w:b/>
                <w:sz w:val="20"/>
                <w:szCs w:val="20"/>
              </w:rPr>
            </w:pPr>
            <w:r w:rsidRPr="00B14CE2">
              <w:rPr>
                <w:b/>
                <w:sz w:val="20"/>
                <w:szCs w:val="20"/>
              </w:rPr>
              <w:t>RI.7.3</w:t>
            </w:r>
            <w:r w:rsidR="00B14CE2">
              <w:rPr>
                <w:b/>
                <w:sz w:val="20"/>
                <w:szCs w:val="20"/>
              </w:rPr>
              <w:t xml:space="preserve"> </w:t>
            </w:r>
            <w:r w:rsidR="00B14CE2" w:rsidRPr="00B14CE2">
              <w:rPr>
                <w:sz w:val="20"/>
                <w:szCs w:val="20"/>
              </w:rPr>
              <w:t>Analyze the interactions between individuals, events, and ideas in a text (e.g., how ideas influence individuals or events, or how individuals influence ideas or events).</w:t>
            </w:r>
          </w:p>
          <w:p w14:paraId="0860FE67" w14:textId="51DE9D4E" w:rsidR="00A45E8B" w:rsidRPr="00B14CE2" w:rsidRDefault="00A45E8B" w:rsidP="002E269A">
            <w:pPr>
              <w:pStyle w:val="ListParagraph"/>
              <w:numPr>
                <w:ilvl w:val="0"/>
                <w:numId w:val="6"/>
              </w:numPr>
              <w:rPr>
                <w:b/>
                <w:sz w:val="20"/>
                <w:szCs w:val="20"/>
              </w:rPr>
            </w:pPr>
            <w:r w:rsidRPr="00B14CE2">
              <w:rPr>
                <w:b/>
                <w:sz w:val="20"/>
                <w:szCs w:val="20"/>
              </w:rPr>
              <w:t>W.7.2</w:t>
            </w:r>
            <w:r w:rsidR="00B14CE2">
              <w:rPr>
                <w:b/>
                <w:sz w:val="20"/>
                <w:szCs w:val="20"/>
              </w:rPr>
              <w:t xml:space="preserve"> </w:t>
            </w:r>
            <w:r w:rsidR="00B14CE2" w:rsidRPr="00B14CE2">
              <w:rPr>
                <w:sz w:val="20"/>
                <w:szCs w:val="20"/>
              </w:rPr>
              <w:t>Write informative/explanatory texts to examine a topic and convey ideas, concepts, and information through the selection, organization, and analysis of relevant content.</w:t>
            </w:r>
          </w:p>
          <w:p w14:paraId="4DC01F88" w14:textId="77777777" w:rsidR="00A45E8B" w:rsidRPr="002E269A" w:rsidRDefault="00A45E8B" w:rsidP="00A45E8B">
            <w:pPr>
              <w:pStyle w:val="ListParagraph"/>
              <w:ind w:left="360"/>
              <w:rPr>
                <w:sz w:val="20"/>
                <w:szCs w:val="20"/>
              </w:rPr>
            </w:pPr>
          </w:p>
        </w:tc>
      </w:tr>
      <w:tr w:rsidR="002B0538" w14:paraId="0FB439D4" w14:textId="77777777" w:rsidTr="00CD092F">
        <w:tc>
          <w:tcPr>
            <w:tcW w:w="1673" w:type="dxa"/>
            <w:vAlign w:val="center"/>
          </w:tcPr>
          <w:p w14:paraId="668C80BE" w14:textId="0C0C5D82" w:rsidR="002B0538" w:rsidRPr="00A83F78" w:rsidRDefault="00CD092F" w:rsidP="00CD092F">
            <w:pPr>
              <w:jc w:val="center"/>
            </w:pPr>
            <w:r>
              <w:t>3- Not built out</w:t>
            </w:r>
          </w:p>
        </w:tc>
        <w:tc>
          <w:tcPr>
            <w:tcW w:w="1169" w:type="dxa"/>
            <w:vAlign w:val="center"/>
          </w:tcPr>
          <w:p w14:paraId="3733D5C9" w14:textId="0C4A3492" w:rsidR="002B0538" w:rsidRPr="00A83F78" w:rsidRDefault="002B0538" w:rsidP="00080C94">
            <w:pPr>
              <w:jc w:val="center"/>
            </w:pPr>
          </w:p>
        </w:tc>
        <w:tc>
          <w:tcPr>
            <w:tcW w:w="5267" w:type="dxa"/>
            <w:vAlign w:val="center"/>
          </w:tcPr>
          <w:p w14:paraId="5A9D54E9" w14:textId="77777777" w:rsidR="002B0538" w:rsidRPr="002E269A" w:rsidRDefault="002B0538" w:rsidP="00080C94">
            <w:pPr>
              <w:jc w:val="center"/>
              <w:rPr>
                <w:sz w:val="20"/>
                <w:szCs w:val="20"/>
              </w:rPr>
            </w:pPr>
          </w:p>
        </w:tc>
        <w:tc>
          <w:tcPr>
            <w:tcW w:w="6281" w:type="dxa"/>
            <w:vAlign w:val="center"/>
          </w:tcPr>
          <w:p w14:paraId="60CF6721" w14:textId="77777777" w:rsidR="002B0538" w:rsidRPr="002E269A" w:rsidRDefault="002B0538" w:rsidP="00A45E8B">
            <w:pPr>
              <w:pStyle w:val="ListParagraph"/>
              <w:ind w:left="360"/>
              <w:rPr>
                <w:sz w:val="20"/>
                <w:szCs w:val="20"/>
              </w:rPr>
            </w:pPr>
          </w:p>
        </w:tc>
      </w:tr>
      <w:tr w:rsidR="002B0538" w14:paraId="2788DB88" w14:textId="77777777" w:rsidTr="00CD092F">
        <w:tc>
          <w:tcPr>
            <w:tcW w:w="1673" w:type="dxa"/>
            <w:vAlign w:val="center"/>
          </w:tcPr>
          <w:p w14:paraId="101B2F85" w14:textId="5A21B929" w:rsidR="002B0538" w:rsidRPr="00CD092F" w:rsidRDefault="00CD092F" w:rsidP="00EB7921">
            <w:pPr>
              <w:jc w:val="center"/>
              <w:rPr>
                <w:i/>
              </w:rPr>
            </w:pPr>
            <w:r>
              <w:t xml:space="preserve">4-  </w:t>
            </w:r>
            <w:r w:rsidR="00EB7921">
              <w:rPr>
                <w:i/>
              </w:rPr>
              <w:t>A Curious Incident of the Dog in the Night-time</w:t>
            </w:r>
          </w:p>
        </w:tc>
        <w:tc>
          <w:tcPr>
            <w:tcW w:w="1169" w:type="dxa"/>
            <w:vAlign w:val="center"/>
          </w:tcPr>
          <w:p w14:paraId="2F8B7822" w14:textId="77777777" w:rsidR="006D58AD" w:rsidRDefault="00CD092F" w:rsidP="00080C94">
            <w:pPr>
              <w:jc w:val="center"/>
            </w:pPr>
            <w:r>
              <w:t xml:space="preserve">Reading: </w:t>
            </w:r>
            <w:r w:rsidR="006D58AD">
              <w:t>25 days</w:t>
            </w:r>
          </w:p>
          <w:p w14:paraId="7DFAA8F3" w14:textId="6BAD2D5B" w:rsidR="002B0538" w:rsidRPr="00A83F78" w:rsidRDefault="00CD092F" w:rsidP="00080C94">
            <w:pPr>
              <w:jc w:val="center"/>
            </w:pPr>
            <w:r>
              <w:t>Writing:</w:t>
            </w:r>
            <w:r w:rsidR="006D58AD">
              <w:t xml:space="preserve"> 15 days</w:t>
            </w:r>
          </w:p>
        </w:tc>
        <w:tc>
          <w:tcPr>
            <w:tcW w:w="5267" w:type="dxa"/>
            <w:vAlign w:val="center"/>
          </w:tcPr>
          <w:p w14:paraId="1C1AEFD7" w14:textId="506FC014" w:rsidR="00EB7921" w:rsidRDefault="00EB7921" w:rsidP="00EB7921">
            <w:pPr>
              <w:rPr>
                <w:rFonts w:ascii="Calibri" w:eastAsia="Times New Roman" w:hAnsi="Calibri" w:cs="Times New Roman"/>
                <w:color w:val="000000"/>
              </w:rPr>
            </w:pPr>
            <w:r>
              <w:rPr>
                <w:rFonts w:ascii="Calibri" w:eastAsia="Times New Roman" w:hAnsi="Calibri" w:cs="Times New Roman"/>
                <w:color w:val="000000"/>
              </w:rPr>
              <w:t xml:space="preserve">Mark Haddon deftly crafts a poignant story in </w:t>
            </w:r>
            <w:r>
              <w:rPr>
                <w:rFonts w:ascii="Calibri" w:eastAsia="Times New Roman" w:hAnsi="Calibri" w:cs="Times New Roman"/>
                <w:i/>
                <w:color w:val="000000"/>
              </w:rPr>
              <w:t>The Curious Incident of the Dog in the Night-time</w:t>
            </w:r>
            <w:r>
              <w:rPr>
                <w:rFonts w:ascii="Calibri" w:eastAsia="Times New Roman" w:hAnsi="Calibri" w:cs="Times New Roman"/>
                <w:color w:val="000000"/>
              </w:rPr>
              <w:t xml:space="preserve"> through his protagonist, and narrator, Christopher. Christopher is a rigidly flawed narrator and Haddon expertly and consistently maintains his voice and limited lens throughout the novel.  The plot is ostensibly about Christopher solving the “curious incident” of Wellington’s, the dog’s, murder, however, this is soon revealed and the story is really about Christopher navigating his external and internal challenges to make sense of his world, touching on universal themes like family, death, loss, trust, and forgiveness.  To understand this novel it is critical to understand the </w:t>
            </w:r>
            <w:r>
              <w:rPr>
                <w:rFonts w:ascii="Calibri" w:eastAsia="Times New Roman" w:hAnsi="Calibri" w:cs="Times New Roman"/>
                <w:color w:val="000000"/>
              </w:rPr>
              <w:lastRenderedPageBreak/>
              <w:t xml:space="preserve">importance of Christopher’s narration and his unique perspective on the events he narrates.  Haddon employs multiple techniques to develop Christopher’s narrative voice and his perspective so this unit focuses on developing students’ capacity to analyze Haddon’s structural choices </w:t>
            </w:r>
            <w:r w:rsidRPr="00EB7921">
              <w:rPr>
                <w:rFonts w:ascii="Calibri" w:eastAsia="Times New Roman" w:hAnsi="Calibri" w:cs="Times New Roman"/>
                <w:color w:val="000000"/>
              </w:rPr>
              <w:t>so that</w:t>
            </w:r>
            <w:r>
              <w:rPr>
                <w:rFonts w:ascii="Calibri" w:eastAsia="Times New Roman" w:hAnsi="Calibri" w:cs="Times New Roman"/>
                <w:color w:val="000000"/>
              </w:rPr>
              <w:t xml:space="preserve"> they can effectively analyze Christopher’s point of view and perspective.   This unit begins by establishing student understanding of how point of view contributes meaning to stories through the use of two short stories, then moves into the unit. </w:t>
            </w:r>
          </w:p>
          <w:p w14:paraId="143075DB" w14:textId="77777777" w:rsidR="002B0538" w:rsidRPr="002E269A" w:rsidRDefault="002B0538" w:rsidP="00080C94">
            <w:pPr>
              <w:jc w:val="center"/>
              <w:rPr>
                <w:sz w:val="20"/>
                <w:szCs w:val="20"/>
              </w:rPr>
            </w:pPr>
          </w:p>
        </w:tc>
        <w:tc>
          <w:tcPr>
            <w:tcW w:w="6281" w:type="dxa"/>
            <w:vAlign w:val="center"/>
          </w:tcPr>
          <w:p w14:paraId="6A28A936" w14:textId="736356E9" w:rsidR="002B0538" w:rsidRPr="00B14CE2" w:rsidRDefault="00B14CE2" w:rsidP="005D785B">
            <w:pPr>
              <w:pStyle w:val="ListParagraph"/>
              <w:numPr>
                <w:ilvl w:val="0"/>
                <w:numId w:val="10"/>
              </w:numPr>
              <w:rPr>
                <w:b/>
                <w:sz w:val="20"/>
                <w:szCs w:val="20"/>
              </w:rPr>
            </w:pPr>
            <w:r w:rsidRPr="00B14CE2">
              <w:rPr>
                <w:b/>
                <w:sz w:val="20"/>
                <w:szCs w:val="20"/>
              </w:rPr>
              <w:lastRenderedPageBreak/>
              <w:t>RL</w:t>
            </w:r>
            <w:r w:rsidR="00EB7921" w:rsidRPr="00B14CE2">
              <w:rPr>
                <w:b/>
                <w:sz w:val="20"/>
                <w:szCs w:val="20"/>
              </w:rPr>
              <w:t>.7.6</w:t>
            </w:r>
            <w:r>
              <w:rPr>
                <w:b/>
                <w:sz w:val="20"/>
                <w:szCs w:val="20"/>
              </w:rPr>
              <w:t xml:space="preserve"> </w:t>
            </w:r>
            <w:r w:rsidRPr="00B14CE2">
              <w:rPr>
                <w:sz w:val="20"/>
                <w:szCs w:val="20"/>
              </w:rPr>
              <w:t>Analyze how an author develops and contrasts the points of view of different characters or narrators in a text.</w:t>
            </w:r>
          </w:p>
          <w:p w14:paraId="2226048A" w14:textId="3A253AB7" w:rsidR="00EB7921" w:rsidRPr="002E269A" w:rsidRDefault="00EB7921" w:rsidP="005D785B">
            <w:pPr>
              <w:pStyle w:val="ListParagraph"/>
              <w:numPr>
                <w:ilvl w:val="0"/>
                <w:numId w:val="10"/>
              </w:numPr>
              <w:rPr>
                <w:sz w:val="20"/>
                <w:szCs w:val="20"/>
              </w:rPr>
            </w:pPr>
            <w:r w:rsidRPr="00B14CE2">
              <w:rPr>
                <w:b/>
                <w:sz w:val="20"/>
                <w:szCs w:val="20"/>
              </w:rPr>
              <w:t>W.6.1</w:t>
            </w:r>
            <w:r w:rsidR="00B14CE2">
              <w:rPr>
                <w:sz w:val="20"/>
                <w:szCs w:val="20"/>
              </w:rPr>
              <w:t xml:space="preserve"> </w:t>
            </w:r>
            <w:r w:rsidR="00B14CE2" w:rsidRPr="00B14CE2">
              <w:rPr>
                <w:sz w:val="20"/>
                <w:szCs w:val="20"/>
              </w:rPr>
              <w:t>Write arguments to support claims with clear reasons and relevant evidence.</w:t>
            </w:r>
          </w:p>
        </w:tc>
      </w:tr>
      <w:tr w:rsidR="002B0538" w14:paraId="177EEC0A" w14:textId="77777777" w:rsidTr="00CD092F">
        <w:tc>
          <w:tcPr>
            <w:tcW w:w="1673" w:type="dxa"/>
            <w:vAlign w:val="center"/>
          </w:tcPr>
          <w:p w14:paraId="485AA920" w14:textId="148C7690" w:rsidR="002B0538" w:rsidRPr="00CD092F" w:rsidRDefault="00CD092F" w:rsidP="00EB7921">
            <w:pPr>
              <w:jc w:val="center"/>
              <w:rPr>
                <w:i/>
              </w:rPr>
            </w:pPr>
            <w:r>
              <w:t xml:space="preserve">5- </w:t>
            </w:r>
            <w:r w:rsidR="00EB7921">
              <w:t>Not built out</w:t>
            </w:r>
          </w:p>
        </w:tc>
        <w:tc>
          <w:tcPr>
            <w:tcW w:w="1169" w:type="dxa"/>
            <w:vAlign w:val="center"/>
          </w:tcPr>
          <w:p w14:paraId="59171DB8" w14:textId="516BFE85" w:rsidR="002B0538" w:rsidRPr="00A83F78" w:rsidRDefault="002B0538" w:rsidP="00080C94">
            <w:pPr>
              <w:jc w:val="center"/>
            </w:pPr>
          </w:p>
        </w:tc>
        <w:tc>
          <w:tcPr>
            <w:tcW w:w="5267" w:type="dxa"/>
            <w:vAlign w:val="center"/>
          </w:tcPr>
          <w:p w14:paraId="66DC07AA" w14:textId="77777777" w:rsidR="002B0538" w:rsidRPr="00A83F78" w:rsidRDefault="002B0538" w:rsidP="00080C94">
            <w:pPr>
              <w:jc w:val="center"/>
            </w:pPr>
          </w:p>
        </w:tc>
        <w:tc>
          <w:tcPr>
            <w:tcW w:w="6281" w:type="dxa"/>
            <w:vAlign w:val="center"/>
          </w:tcPr>
          <w:p w14:paraId="221EED36" w14:textId="77777777" w:rsidR="002B0538" w:rsidRPr="002E269A" w:rsidRDefault="002B0538" w:rsidP="00080C94">
            <w:pPr>
              <w:jc w:val="center"/>
              <w:rPr>
                <w:sz w:val="20"/>
                <w:szCs w:val="20"/>
              </w:rPr>
            </w:pPr>
          </w:p>
        </w:tc>
      </w:tr>
      <w:tr w:rsidR="00CD092F" w14:paraId="5644DD58" w14:textId="77777777" w:rsidTr="00CD092F">
        <w:tc>
          <w:tcPr>
            <w:tcW w:w="1673" w:type="dxa"/>
            <w:vAlign w:val="center"/>
          </w:tcPr>
          <w:p w14:paraId="7B31F0AE" w14:textId="48FA6513" w:rsidR="00CD092F" w:rsidRPr="00CD092F" w:rsidRDefault="00CD092F" w:rsidP="00CD092F">
            <w:pPr>
              <w:jc w:val="center"/>
            </w:pPr>
            <w:r>
              <w:t>6- Not built out</w:t>
            </w:r>
          </w:p>
        </w:tc>
        <w:tc>
          <w:tcPr>
            <w:tcW w:w="1169" w:type="dxa"/>
          </w:tcPr>
          <w:p w14:paraId="45EB3421" w14:textId="37101A4B" w:rsidR="00CD092F" w:rsidRPr="00A83F78" w:rsidRDefault="00CD092F" w:rsidP="00CD092F">
            <w:pPr>
              <w:jc w:val="center"/>
            </w:pPr>
          </w:p>
        </w:tc>
        <w:tc>
          <w:tcPr>
            <w:tcW w:w="5267" w:type="dxa"/>
            <w:vAlign w:val="center"/>
          </w:tcPr>
          <w:p w14:paraId="6B3BA5A2" w14:textId="77777777" w:rsidR="00CD092F" w:rsidRPr="00A83F78" w:rsidRDefault="00CD092F" w:rsidP="00CD092F">
            <w:pPr>
              <w:jc w:val="center"/>
            </w:pPr>
          </w:p>
        </w:tc>
        <w:tc>
          <w:tcPr>
            <w:tcW w:w="6281" w:type="dxa"/>
            <w:vAlign w:val="center"/>
          </w:tcPr>
          <w:p w14:paraId="6A4E3B46" w14:textId="77777777" w:rsidR="00CD092F" w:rsidRPr="002E269A" w:rsidRDefault="00CD092F" w:rsidP="00CD092F">
            <w:pPr>
              <w:jc w:val="center"/>
              <w:rPr>
                <w:sz w:val="20"/>
                <w:szCs w:val="20"/>
              </w:rPr>
            </w:pPr>
          </w:p>
        </w:tc>
      </w:tr>
      <w:tr w:rsidR="00CD092F" w14:paraId="1F90AE12" w14:textId="77777777" w:rsidTr="00CD092F">
        <w:tc>
          <w:tcPr>
            <w:tcW w:w="1673" w:type="dxa"/>
            <w:vAlign w:val="center"/>
          </w:tcPr>
          <w:p w14:paraId="2AEC6EE8" w14:textId="61530FB6" w:rsidR="00CD092F" w:rsidRPr="00A83F78" w:rsidRDefault="00CD092F" w:rsidP="00CD092F">
            <w:pPr>
              <w:jc w:val="center"/>
            </w:pPr>
            <w:r>
              <w:t>7- Not built out</w:t>
            </w:r>
          </w:p>
        </w:tc>
        <w:tc>
          <w:tcPr>
            <w:tcW w:w="1169" w:type="dxa"/>
          </w:tcPr>
          <w:p w14:paraId="4B679060" w14:textId="7FCD9140" w:rsidR="00CD092F" w:rsidRPr="00A83F78" w:rsidRDefault="00CD092F" w:rsidP="00CD092F">
            <w:pPr>
              <w:jc w:val="center"/>
            </w:pPr>
          </w:p>
        </w:tc>
        <w:tc>
          <w:tcPr>
            <w:tcW w:w="5267" w:type="dxa"/>
            <w:vAlign w:val="center"/>
          </w:tcPr>
          <w:p w14:paraId="5F1A8166" w14:textId="77777777" w:rsidR="00CD092F" w:rsidRPr="00A83F78" w:rsidRDefault="00CD092F" w:rsidP="00CD092F">
            <w:pPr>
              <w:jc w:val="center"/>
            </w:pPr>
          </w:p>
        </w:tc>
        <w:tc>
          <w:tcPr>
            <w:tcW w:w="6281" w:type="dxa"/>
            <w:vAlign w:val="center"/>
          </w:tcPr>
          <w:p w14:paraId="16E30DAF" w14:textId="77777777" w:rsidR="00CD092F" w:rsidRPr="002E269A" w:rsidRDefault="00CD092F" w:rsidP="00CD092F">
            <w:pPr>
              <w:jc w:val="center"/>
              <w:rPr>
                <w:sz w:val="20"/>
                <w:szCs w:val="20"/>
              </w:rPr>
            </w:pPr>
          </w:p>
        </w:tc>
      </w:tr>
    </w:tbl>
    <w:p w14:paraId="6F15B350" w14:textId="77777777" w:rsidR="00FC521A" w:rsidRDefault="00FC521A"/>
    <w:p w14:paraId="2E8D065D" w14:textId="3DCF59E6" w:rsidR="00FC521A" w:rsidRPr="00C92571" w:rsidRDefault="00C92571">
      <w:pPr>
        <w:rPr>
          <w:b/>
        </w:rPr>
      </w:pPr>
      <w:r w:rsidRPr="00C92571">
        <w:rPr>
          <w:b/>
        </w:rPr>
        <w:t xml:space="preserve">*Note: There is a unit guide available for </w:t>
      </w:r>
      <w:r w:rsidRPr="00C92571">
        <w:rPr>
          <w:b/>
          <w:i/>
        </w:rPr>
        <w:t>Night</w:t>
      </w:r>
      <w:r>
        <w:rPr>
          <w:b/>
        </w:rPr>
        <w:t xml:space="preserve"> on the Helix.</w:t>
      </w:r>
    </w:p>
    <w:p w14:paraId="7339F2D3" w14:textId="77777777" w:rsidR="00FC521A" w:rsidRDefault="00FC521A"/>
    <w:sectPr w:rsidR="00FC521A" w:rsidSect="00080C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D92"/>
    <w:multiLevelType w:val="hybridMultilevel"/>
    <w:tmpl w:val="DFFC4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722DC"/>
    <w:multiLevelType w:val="hybridMultilevel"/>
    <w:tmpl w:val="0612204E"/>
    <w:lvl w:ilvl="0" w:tplc="CB02C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5B44"/>
    <w:multiLevelType w:val="hybridMultilevel"/>
    <w:tmpl w:val="29D2B99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B4481"/>
    <w:multiLevelType w:val="hybridMultilevel"/>
    <w:tmpl w:val="90F463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0829B6"/>
    <w:multiLevelType w:val="hybridMultilevel"/>
    <w:tmpl w:val="E93EA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4600E5"/>
    <w:multiLevelType w:val="hybridMultilevel"/>
    <w:tmpl w:val="11FA1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2438C4"/>
    <w:multiLevelType w:val="hybridMultilevel"/>
    <w:tmpl w:val="FA206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0E712D"/>
    <w:multiLevelType w:val="hybridMultilevel"/>
    <w:tmpl w:val="3D58DB36"/>
    <w:lvl w:ilvl="0" w:tplc="514E752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FF2906"/>
    <w:multiLevelType w:val="hybridMultilevel"/>
    <w:tmpl w:val="11845D52"/>
    <w:lvl w:ilvl="0" w:tplc="ADC86114">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91ADC"/>
    <w:multiLevelType w:val="hybridMultilevel"/>
    <w:tmpl w:val="5AC0E300"/>
    <w:lvl w:ilvl="0" w:tplc="ADC86114">
      <w:start w:val="1"/>
      <w:numFmt w:val="bullet"/>
      <w:lvlText w:val=""/>
      <w:lvlJc w:val="left"/>
      <w:pPr>
        <w:ind w:left="360" w:hanging="360"/>
      </w:pPr>
      <w:rPr>
        <w:rFonts w:ascii="Wingdings" w:hAnsi="Wingdings" w:hint="default"/>
        <w:sz w:val="22"/>
        <w:szCs w:val="22"/>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8"/>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4C"/>
    <w:rsid w:val="00080C94"/>
    <w:rsid w:val="00233CC4"/>
    <w:rsid w:val="00265E9C"/>
    <w:rsid w:val="002B0538"/>
    <w:rsid w:val="002D7D3B"/>
    <w:rsid w:val="002E269A"/>
    <w:rsid w:val="002E4D0C"/>
    <w:rsid w:val="00335332"/>
    <w:rsid w:val="00364037"/>
    <w:rsid w:val="003A457D"/>
    <w:rsid w:val="003D68F9"/>
    <w:rsid w:val="003D78F6"/>
    <w:rsid w:val="004048F6"/>
    <w:rsid w:val="005B6E43"/>
    <w:rsid w:val="005D785B"/>
    <w:rsid w:val="00610D0A"/>
    <w:rsid w:val="006D58AD"/>
    <w:rsid w:val="00710CF0"/>
    <w:rsid w:val="0079704A"/>
    <w:rsid w:val="00881158"/>
    <w:rsid w:val="00A45E8B"/>
    <w:rsid w:val="00A83F78"/>
    <w:rsid w:val="00AB0B1B"/>
    <w:rsid w:val="00B14CE2"/>
    <w:rsid w:val="00C35792"/>
    <w:rsid w:val="00C4314C"/>
    <w:rsid w:val="00C72C16"/>
    <w:rsid w:val="00C92571"/>
    <w:rsid w:val="00CD092F"/>
    <w:rsid w:val="00D2217C"/>
    <w:rsid w:val="00DF40C2"/>
    <w:rsid w:val="00E53D22"/>
    <w:rsid w:val="00EA703F"/>
    <w:rsid w:val="00EB7921"/>
    <w:rsid w:val="00F15658"/>
    <w:rsid w:val="00F31884"/>
    <w:rsid w:val="00F46C85"/>
    <w:rsid w:val="00FC521A"/>
    <w:rsid w:val="00FC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2856"/>
  <w15:docId w15:val="{D4EB816C-5450-401F-AA23-EF703F2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04A"/>
    <w:pPr>
      <w:ind w:left="720"/>
      <w:contextualSpacing/>
    </w:pPr>
  </w:style>
  <w:style w:type="paragraph" w:styleId="BalloonText">
    <w:name w:val="Balloon Text"/>
    <w:basedOn w:val="Normal"/>
    <w:link w:val="BalloonTextChar"/>
    <w:uiPriority w:val="99"/>
    <w:semiHidden/>
    <w:unhideWhenUsed/>
    <w:rsid w:val="002B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38"/>
    <w:rPr>
      <w:rFonts w:ascii="Tahoma" w:hAnsi="Tahoma" w:cs="Tahoma"/>
      <w:sz w:val="16"/>
      <w:szCs w:val="16"/>
    </w:rPr>
  </w:style>
  <w:style w:type="character" w:styleId="CommentReference">
    <w:name w:val="annotation reference"/>
    <w:basedOn w:val="DefaultParagraphFont"/>
    <w:uiPriority w:val="99"/>
    <w:semiHidden/>
    <w:unhideWhenUsed/>
    <w:rsid w:val="00EA703F"/>
    <w:rPr>
      <w:sz w:val="16"/>
      <w:szCs w:val="16"/>
    </w:rPr>
  </w:style>
  <w:style w:type="paragraph" w:styleId="CommentText">
    <w:name w:val="annotation text"/>
    <w:basedOn w:val="Normal"/>
    <w:link w:val="CommentTextChar"/>
    <w:uiPriority w:val="99"/>
    <w:semiHidden/>
    <w:unhideWhenUsed/>
    <w:rsid w:val="00EA703F"/>
    <w:pPr>
      <w:spacing w:line="240" w:lineRule="auto"/>
    </w:pPr>
    <w:rPr>
      <w:sz w:val="20"/>
      <w:szCs w:val="20"/>
    </w:rPr>
  </w:style>
  <w:style w:type="character" w:customStyle="1" w:styleId="CommentTextChar">
    <w:name w:val="Comment Text Char"/>
    <w:basedOn w:val="DefaultParagraphFont"/>
    <w:link w:val="CommentText"/>
    <w:uiPriority w:val="99"/>
    <w:semiHidden/>
    <w:rsid w:val="00EA703F"/>
    <w:rPr>
      <w:sz w:val="20"/>
      <w:szCs w:val="20"/>
    </w:rPr>
  </w:style>
  <w:style w:type="paragraph" w:styleId="CommentSubject">
    <w:name w:val="annotation subject"/>
    <w:basedOn w:val="CommentText"/>
    <w:next w:val="CommentText"/>
    <w:link w:val="CommentSubjectChar"/>
    <w:uiPriority w:val="99"/>
    <w:semiHidden/>
    <w:unhideWhenUsed/>
    <w:rsid w:val="00EA703F"/>
    <w:rPr>
      <w:b/>
      <w:bCs/>
    </w:rPr>
  </w:style>
  <w:style w:type="character" w:customStyle="1" w:styleId="CommentSubjectChar">
    <w:name w:val="Comment Subject Char"/>
    <w:basedOn w:val="CommentTextChar"/>
    <w:link w:val="CommentSubject"/>
    <w:uiPriority w:val="99"/>
    <w:semiHidden/>
    <w:rsid w:val="00EA703F"/>
    <w:rPr>
      <w:b/>
      <w:bCs/>
      <w:sz w:val="20"/>
      <w:szCs w:val="20"/>
    </w:rPr>
  </w:style>
  <w:style w:type="paragraph" w:styleId="Title">
    <w:name w:val="Title"/>
    <w:basedOn w:val="Normal"/>
    <w:next w:val="Normal"/>
    <w:link w:val="TitleChar"/>
    <w:uiPriority w:val="10"/>
    <w:qFormat/>
    <w:rsid w:val="00F31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8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3032">
      <w:bodyDiv w:val="1"/>
      <w:marLeft w:val="0"/>
      <w:marRight w:val="0"/>
      <w:marTop w:val="0"/>
      <w:marBottom w:val="0"/>
      <w:divBdr>
        <w:top w:val="none" w:sz="0" w:space="0" w:color="auto"/>
        <w:left w:val="none" w:sz="0" w:space="0" w:color="auto"/>
        <w:bottom w:val="none" w:sz="0" w:space="0" w:color="auto"/>
        <w:right w:val="none" w:sz="0" w:space="0" w:color="auto"/>
      </w:divBdr>
    </w:div>
    <w:div w:id="13280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355df4a9f7f47849cc7382b59e491f7 xmlns="d02912db-9031-4ae4-b2c8-eac1d93f88f5">
      <Terms xmlns="http://schemas.microsoft.com/office/infopath/2007/PartnerControls">
        <TermInfo xmlns="http://schemas.microsoft.com/office/infopath/2007/PartnerControls">
          <TermName xmlns="http://schemas.microsoft.com/office/infopath/2007/PartnerControls">Core Course Material</TermName>
          <TermId xmlns="http://schemas.microsoft.com/office/infopath/2007/PartnerControls">c83c3b4a-aebb-4d6d-a374-b10535190daf</TermId>
        </TermInfo>
      </Terms>
    </l355df4a9f7f47849cc7382b59e491f7>
    <ib0b3dad0cd147b2bd31bef24b3576f4 xmlns="d02912db-9031-4ae4-b2c8-eac1d93f88f5">
      <Terms xmlns="http://schemas.microsoft.com/office/infopath/2007/PartnerControls">
        <TermInfo xmlns="http://schemas.microsoft.com/office/infopath/2007/PartnerControls">
          <TermName xmlns="http://schemas.microsoft.com/office/infopath/2007/PartnerControls">Reading 7</TermName>
          <TermId xmlns="http://schemas.microsoft.com/office/infopath/2007/PartnerControls">ff08d2b1-a0b4-4a81-aa7f-ace178e97f7e</TermId>
        </TermInfo>
      </Terms>
    </ib0b3dad0cd147b2bd31bef24b3576f4>
    <TaxCatchAll xmlns="a5aaa379-e608-4a5c-bdc5-85be622cc936">
      <Value>184</Value>
      <Value>94</Value>
    </TaxCatchAll>
    <Material_x0020_Version xmlns="d02912db-9031-4ae4-b2c8-eac1d93f88f5"/>
    <Material_x0020_Type xmlns="d02912db-9031-4ae4-b2c8-eac1d93f88f5">Curriculum Map</Material_x0020_Type>
    <Material_x0020_Group xmlns="d02912db-9031-4ae4-b2c8-eac1d93f88f5"/>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F80DB4CB0B64DAC0E66838D3C1444" ma:contentTypeVersion="9" ma:contentTypeDescription="Create a new document." ma:contentTypeScope="" ma:versionID="4066c8907af70076717be254347a23f7">
  <xsd:schema xmlns:xsd="http://www.w3.org/2001/XMLSchema" xmlns:xs="http://www.w3.org/2001/XMLSchema" xmlns:p="http://schemas.microsoft.com/office/2006/metadata/properties" xmlns:ns2="d02912db-9031-4ae4-b2c8-eac1d93f88f5" xmlns:ns3="a5aaa379-e608-4a5c-bdc5-85be622cc936" xmlns:ns4="http://schemas.microsoft.com/sharepoint/v4" targetNamespace="http://schemas.microsoft.com/office/2006/metadata/properties" ma:root="true" ma:fieldsID="0069ca37cf6862d03dd540885f1a04b3" ns2:_="" ns3:_="" ns4:_="">
    <xsd:import namespace="d02912db-9031-4ae4-b2c8-eac1d93f88f5"/>
    <xsd:import namespace="a5aaa379-e608-4a5c-bdc5-85be622cc936"/>
    <xsd:import namespace="http://schemas.microsoft.com/sharepoint/v4"/>
    <xsd:element name="properties">
      <xsd:complexType>
        <xsd:sequence>
          <xsd:element name="documentManagement">
            <xsd:complexType>
              <xsd:all>
                <xsd:element ref="ns2:ib0b3dad0cd147b2bd31bef24b3576f4" minOccurs="0"/>
                <xsd:element ref="ns3:TaxCatchAll" minOccurs="0"/>
                <xsd:element ref="ns2:Material_x0020_Type" minOccurs="0"/>
                <xsd:element ref="ns2:Material_x0020_Group" minOccurs="0"/>
                <xsd:element ref="ns2:Material_x0020_Version" minOccurs="0"/>
                <xsd:element ref="ns2:l355df4a9f7f47849cc7382b59e491f7"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12db-9031-4ae4-b2c8-eac1d93f88f5" elementFormDefault="qualified">
    <xsd:import namespace="http://schemas.microsoft.com/office/2006/documentManagement/types"/>
    <xsd:import namespace="http://schemas.microsoft.com/office/infopath/2007/PartnerControls"/>
    <xsd:element name="ib0b3dad0cd147b2bd31bef24b3576f4" ma:index="5" nillable="true" ma:taxonomy="true" ma:internalName="ib0b3dad0cd147b2bd31bef24b3576f4" ma:taxonomyFieldName="Course" ma:displayName="Course" ma:default="" ma:fieldId="{2b0b3dad-0cd1-47b2-bd31-bef24b3576f4}" ma:taxonomyMulti="true" ma:sspId="293aac02-e8ae-4b69-98ac-576d0a464a93" ma:termSetId="6e458b51-97c8-4fc9-a52f-354f90b6883d" ma:anchorId="90e6421f-7fbd-4995-809d-485ffbef35db" ma:open="false" ma:isKeyword="false">
      <xsd:complexType>
        <xsd:sequence>
          <xsd:element ref="pc:Terms" minOccurs="0" maxOccurs="1"/>
        </xsd:sequence>
      </xsd:complexType>
    </xsd:element>
    <xsd:element name="Material_x0020_Type" ma:index="11" nillable="true" ma:displayName="Material Type" ma:format="Dropdown" ma:internalName="Material_x0020_Type">
      <xsd:simpleType>
        <xsd:restriction base="dms:Choice">
          <xsd:enumeration value="Curriculum Map"/>
          <xsd:enumeration value="SAS"/>
          <xsd:enumeration value="Assessment Material Guide"/>
          <xsd:enumeration value="IA/Final"/>
          <xsd:enumeration value="Blueprint"/>
          <xsd:enumeration value="PA"/>
          <xsd:enumeration value="Additional Materials"/>
        </xsd:restriction>
      </xsd:simpleType>
    </xsd:element>
    <xsd:element name="Material_x0020_Group" ma:index="12" nillable="true" ma:displayName="Material Group" ma:internalName="Material_x0020_Group">
      <xsd:complexType>
        <xsd:complexContent>
          <xsd:extension base="dms:MultiChoice">
            <xsd:sequence>
              <xsd:element name="Value" maxOccurs="unbounded" minOccurs="0" nillable="true">
                <xsd:simpleType>
                  <xsd:restriction base="dms:Choice">
                    <xsd:enumeration value="Trimester 1"/>
                    <xsd:enumeration value="Trimester 2"/>
                    <xsd:enumeration value="Trimester 3"/>
                    <xsd:enumeration value="Fall"/>
                    <xsd:enumeration value="Spring"/>
                    <xsd:enumeration value="PA 1"/>
                    <xsd:enumeration value="PA 2"/>
                    <xsd:enumeration value="PA 3"/>
                  </xsd:restriction>
                </xsd:simpleType>
              </xsd:element>
            </xsd:sequence>
          </xsd:extension>
        </xsd:complexContent>
      </xsd:complexType>
    </xsd:element>
    <xsd:element name="Material_x0020_Version" ma:index="13" nillable="true" ma:displayName="Material Version" ma:internalName="Material_x0020_Version">
      <xsd:complexType>
        <xsd:complexContent>
          <xsd:extension base="dms:MultiChoice">
            <xsd:sequence>
              <xsd:element name="Value" maxOccurs="unbounded" minOccurs="0" nillable="true">
                <xsd:simpleType>
                  <xsd:restriction base="dms:Choice">
                    <xsd:enumeration value="Version A"/>
                    <xsd:enumeration value="Version B"/>
                    <xsd:enumeration value="Version C"/>
                  </xsd:restriction>
                </xsd:simpleType>
              </xsd:element>
            </xsd:sequence>
          </xsd:extension>
        </xsd:complexContent>
      </xsd:complexType>
    </xsd:element>
    <xsd:element name="l355df4a9f7f47849cc7382b59e491f7" ma:index="15" nillable="true" ma:taxonomy="true" ma:internalName="l355df4a9f7f47849cc7382b59e491f7" ma:taxonomyFieldName="Resource_x0020_Type" ma:displayName="Resource Type" ma:default="184;#Core Course Material|c83c3b4a-aebb-4d6d-a374-b10535190daf" ma:fieldId="{5355df4a-9f7f-4784-9cc7-382b59e491f7}" ma:sspId="293aac02-e8ae-4b69-98ac-576d0a464a93" ma:termSetId="6e458b51-97c8-4fc9-a52f-354f90b6883d" ma:anchorId="8a46abe0-6b39-4f86-8f48-7033b5b86f9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aa379-e608-4a5c-bdc5-85be622cc936"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44e65cf7-9058-45d5-af88-713beedaa31d}" ma:internalName="TaxCatchAll" ma:showField="CatchAllData" ma:web="ffd3cb2f-622f-4fc1-b651-7ea06d67b5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787A1-942B-42CC-A853-7880B2EBD1EF}">
  <ds:schemaRefs>
    <ds:schemaRef ds:uri="http://schemas.microsoft.com/sharepoint/v3/contenttype/forms"/>
  </ds:schemaRefs>
</ds:datastoreItem>
</file>

<file path=customXml/itemProps2.xml><?xml version="1.0" encoding="utf-8"?>
<ds:datastoreItem xmlns:ds="http://schemas.openxmlformats.org/officeDocument/2006/customXml" ds:itemID="{44936043-FF15-4DB0-9C76-260FACBEAE8B}">
  <ds:schemaRefs>
    <ds:schemaRef ds:uri="http://schemas.microsoft.com/office/2006/metadata/properties"/>
    <ds:schemaRef ds:uri="http://schemas.microsoft.com/office/infopath/2007/PartnerControls"/>
    <ds:schemaRef ds:uri="d02912db-9031-4ae4-b2c8-eac1d93f88f5"/>
    <ds:schemaRef ds:uri="a5aaa379-e608-4a5c-bdc5-85be622cc936"/>
    <ds:schemaRef ds:uri="http://schemas.microsoft.com/sharepoint/v4"/>
  </ds:schemaRefs>
</ds:datastoreItem>
</file>

<file path=customXml/itemProps3.xml><?xml version="1.0" encoding="utf-8"?>
<ds:datastoreItem xmlns:ds="http://schemas.openxmlformats.org/officeDocument/2006/customXml" ds:itemID="{E28B27DD-3E85-49EB-A2F6-34259A3D5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12db-9031-4ae4-b2c8-eac1d93f88f5"/>
    <ds:schemaRef ds:uri="a5aaa379-e608-4a5c-bdc5-85be622cc93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Reading and Writing 7 Curriculum Map</vt:lpstr>
    </vt:vector>
  </TitlesOfParts>
  <Company>DSST</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Writing 7 Curriculum Map</dc:title>
  <dc:creator>Lizzie Melia</dc:creator>
  <cp:lastModifiedBy>Dallas Jones</cp:lastModifiedBy>
  <cp:revision>2</cp:revision>
  <dcterms:created xsi:type="dcterms:W3CDTF">2017-08-02T18:36:00Z</dcterms:created>
  <dcterms:modified xsi:type="dcterms:W3CDTF">2017-08-02T18:36:00Z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0x01010064AF80DB4CB0B64DAC0E66838D3C1444</vt:lpwstr>
  </property>
  <property fmtid="{D5CDD505-2E9C-101B-9397-08002B2CF9AE}" pid="3" name="Resource Type">
    <vt:lpwstr>184;#Core Course Material|c83c3b4a-aebb-4d6d-a374-b10535190daf</vt:lpwstr>
  </property>
  <property fmtid="{D5CDD505-2E9C-101B-9397-08002B2CF9AE}" pid="4" name="Course">
    <vt:lpwstr>94;#Reading 7|ff08d2b1-a0b4-4a81-aa7f-ace178e97f7e</vt:lpwstr>
  </property>
</Properties>
</file>